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r>
      <w:r>
        <w:rPr>
          <w:b/>
          <w:i/>
          <w:sz w:val="28"/>
        </w:rPr>
        <w:t>S2-230</w:t>
      </w:r>
      <w:r>
        <w:rPr>
          <w:b/>
          <w:i/>
          <w:sz w:val="28"/>
          <w:lang w:val="en-US"/>
        </w:rPr>
        <w:t>4463</w:t>
      </w:r>
      <w:ins w:id="0" w:author="CMCC r01" w:date="2023-04-18T16:49:48Z">
        <w:r>
          <w:rPr>
            <w:rFonts w:hint="default"/>
            <w:b/>
            <w:i/>
            <w:sz w:val="28"/>
            <w:lang w:val="en-US"/>
          </w:rPr>
          <w:t>r0</w:t>
        </w:r>
      </w:ins>
      <w:ins w:id="1" w:author="CMCC r01" w:date="2023-04-18T16:49:49Z">
        <w:r>
          <w:rPr>
            <w:rFonts w:hint="default"/>
            <w:b/>
            <w:i/>
            <w:sz w:val="28"/>
            <w:lang w:val="en-US"/>
          </w:rPr>
          <w:t>1</w:t>
        </w:r>
      </w:ins>
    </w:p>
    <w:p>
      <w:pPr>
        <w:pStyle w:val="100"/>
        <w:tabs>
          <w:tab w:val="right" w:pos="5103"/>
          <w:tab w:val="right" w:pos="9639"/>
        </w:tabs>
        <w:outlineLvl w:val="0"/>
        <w:rPr>
          <w:sz w:val="24"/>
        </w:rPr>
      </w:pPr>
      <w:r>
        <w:rPr>
          <w:rFonts w:hint="eastAsia" w:eastAsia="Arial Unicode MS" w:cs="Arial"/>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cs="Arial"/>
          <w:b/>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b/>
                <w:sz w:val="28"/>
                <w:lang w:val="en-US"/>
              </w:rPr>
            </w:pPr>
            <w:r>
              <w:rPr>
                <w:b/>
                <w:sz w:val="28"/>
              </w:rPr>
              <w:t>23.</w:t>
            </w:r>
            <w:r>
              <w:rPr>
                <w:b/>
                <w:sz w:val="28"/>
                <w:lang w:val="en-US"/>
              </w:rPr>
              <w:t>502</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rPr>
                <w:lang w:val="en-US"/>
              </w:rPr>
            </w:pPr>
            <w:r>
              <w:rPr>
                <w:b/>
                <w:sz w:val="28"/>
                <w:lang w:val="en-US"/>
              </w:rPr>
              <w:t>4013</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lang w:val="en-US"/>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lang w:val="en-US"/>
              </w:rPr>
            </w:pPr>
            <w:r>
              <w:rPr>
                <w:b/>
                <w:sz w:val="28"/>
              </w:rPr>
              <w:t>18.</w:t>
            </w:r>
            <w:r>
              <w:rPr>
                <w:b/>
                <w:sz w:val="28"/>
                <w:lang w:val="en-US"/>
              </w:rPr>
              <w:t>1.1</w:t>
            </w:r>
          </w:p>
        </w:tc>
        <w:tc>
          <w:tcPr>
            <w:tcW w:w="143" w:type="dxa"/>
            <w:tcBorders>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ind w:left="100"/>
              <w:rPr>
                <w:lang w:val="en-US"/>
              </w:rPr>
            </w:pPr>
            <w:r>
              <w:rPr>
                <w:rFonts w:hint="eastAsia"/>
              </w:rPr>
              <w:t>Enhance NRF services for DCCF relocation</w:t>
            </w:r>
            <w:r>
              <w:t xml:space="preserve"> in TS 23.</w:t>
            </w:r>
            <w:r>
              <w:rPr>
                <w:lang w:val="en-US"/>
              </w:rPr>
              <w:t>502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rPr>
                <w:lang w:val="it-IT"/>
              </w:rPr>
            </w:pPr>
            <w:r>
              <w:rPr>
                <w:lang w:val="it-I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pPr>
            <w:r>
              <w:rPr>
                <w:rFonts w:hint="eastAsia"/>
                <w:lang w:val="en-US"/>
              </w:rPr>
              <w:t>eNA_Ph3</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lang w:val="en-US"/>
              </w:rPr>
            </w:pPr>
            <w:r>
              <w:t>2023-0</w:t>
            </w:r>
            <w:r>
              <w:rPr>
                <w:lang w:val="en-US"/>
              </w:rPr>
              <w:t>4</w:t>
            </w:r>
            <w:r>
              <w:t>-10</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b/>
              </w:rPr>
            </w:pPr>
            <w:r>
              <w:rPr>
                <w:b/>
              </w:rPr>
              <w:t>B</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rPr>
                <w:lang w:val="en-US"/>
              </w:rPr>
            </w:pPr>
            <w:r>
              <w:t>Rel-1</w:t>
            </w:r>
            <w:r>
              <w:rPr>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rPr>
              <w:t>TR 21.900</w:t>
            </w:r>
            <w:r>
              <w:rPr>
                <w:rStyle w:val="39"/>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r>
              <w:rPr>
                <w:rFonts w:cs="Arial"/>
                <w:lang w:val="en-US" w:eastAsia="zh-CN"/>
              </w:rPr>
              <w:t>According to the conclusion of KI#4, FS</w:t>
            </w:r>
            <w:r>
              <w:rPr>
                <w:rFonts w:hint="eastAsia" w:cs="Arial"/>
                <w:lang w:val="en-US" w:eastAsia="zh-CN"/>
              </w:rPr>
              <w:t>_</w:t>
            </w:r>
            <w:r>
              <w:rPr>
                <w:rFonts w:cs="Arial"/>
                <w:lang w:val="en-US" w:eastAsia="zh-CN"/>
              </w:rPr>
              <w:t>eNA_ph3 in TR 23.700-81, t</w:t>
            </w:r>
            <w:r>
              <w:rPr>
                <w:rFonts w:hint="eastAsia" w:cs="Arial"/>
                <w:lang w:val="en-US" w:eastAsia="zh-CN"/>
              </w:rPr>
              <w:t>he selection of the appropriate procedure is determined by the DCCF based on an optional indicator provided by the DCCF service consumer</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rFonts w:cs="Arial"/>
                <w:lang w:eastAsia="zh-CN"/>
              </w:rPr>
            </w:pPr>
            <w:r>
              <w:rPr>
                <w:rFonts w:hint="eastAsia" w:cs="Arial"/>
                <w:lang w:eastAsia="zh-CN"/>
              </w:rPr>
              <w:t>-</w:t>
            </w:r>
            <w:r>
              <w:rPr>
                <w:rFonts w:cs="Arial"/>
                <w:lang w:val="en-US" w:eastAsia="zh-CN"/>
              </w:rPr>
              <w:t xml:space="preserve">  </w:t>
            </w:r>
            <w:r>
              <w:rPr>
                <w:rFonts w:hint="eastAsia" w:cs="Arial"/>
                <w:lang w:eastAsia="zh-CN"/>
              </w:rPr>
              <w:t>Nnrf_NFManagement_NFRegister service enhancements for enhanced DCCF relocation;</w:t>
            </w:r>
          </w:p>
          <w:p>
            <w:pPr>
              <w:pStyle w:val="100"/>
              <w:spacing w:after="0"/>
              <w:ind w:left="100"/>
              <w:rPr>
                <w:rFonts w:cs="Arial"/>
                <w:lang w:eastAsia="zh-CN"/>
              </w:rPr>
            </w:pPr>
            <w:r>
              <w:rPr>
                <w:rFonts w:hint="eastAsia" w:cs="Arial"/>
                <w:lang w:eastAsia="zh-CN"/>
              </w:rPr>
              <w:t>-</w:t>
            </w:r>
            <w:r>
              <w:rPr>
                <w:rFonts w:cs="Arial"/>
                <w:lang w:val="en-US" w:eastAsia="zh-CN"/>
              </w:rPr>
              <w:t xml:space="preserve">  </w:t>
            </w:r>
            <w:r>
              <w:rPr>
                <w:rFonts w:hint="eastAsia" w:cs="Arial"/>
                <w:lang w:eastAsia="zh-CN"/>
              </w:rPr>
              <w:t>Nnrf_NFManagement_NFStatusSubscribe service enhancements for enhanced DCCF relocation;</w:t>
            </w:r>
          </w:p>
          <w:p>
            <w:pPr>
              <w:pStyle w:val="100"/>
              <w:spacing w:after="0"/>
              <w:ind w:left="100"/>
              <w:rPr>
                <w:lang w:val="en-US"/>
              </w:rPr>
            </w:pPr>
            <w:r>
              <w:rPr>
                <w:rFonts w:hint="eastAsia" w:cs="Arial"/>
                <w:lang w:eastAsia="zh-CN"/>
              </w:rPr>
              <w:t>-</w:t>
            </w:r>
            <w:r>
              <w:rPr>
                <w:rFonts w:cs="Arial"/>
                <w:lang w:val="en-US" w:eastAsia="zh-CN"/>
              </w:rPr>
              <w:t xml:space="preserve">  </w:t>
            </w:r>
            <w:r>
              <w:rPr>
                <w:rFonts w:hint="eastAsia" w:cs="Arial"/>
                <w:lang w:eastAsia="zh-CN"/>
              </w:rPr>
              <w:t>Nnrf_NFDiscovery_Request service enhancements for enhanced DCCF relocation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w:t>
            </w:r>
            <w:r>
              <w:rPr>
                <w:rFonts w:hint="eastAsia"/>
                <w:lang w:eastAsia="zh-CN"/>
              </w:rPr>
              <w:t xml:space="preserve">It is not clear how to enhance NRF services of registration and discovery for enhanced </w:t>
            </w:r>
            <w:r>
              <w:rPr>
                <w:rFonts w:hint="eastAsia" w:cs="Arial"/>
                <w:lang w:eastAsia="zh-CN"/>
              </w:rPr>
              <w:t>DCCF relocation</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r>
              <w:rPr>
                <w:rFonts w:hint="eastAsia" w:eastAsia="宋体"/>
                <w:lang w:val="en-US" w:eastAsia="zh-CN"/>
              </w:rPr>
              <w:t>5.2.7.2.2, 5.2.7.2.5, 5.2.7.3.2.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TS23.501 CR4318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keepNext/>
        <w:keepLines/>
        <w:spacing w:before="120"/>
        <w:ind w:left="1701" w:hanging="1701"/>
        <w:outlineLvl w:val="4"/>
        <w:rPr>
          <w:rFonts w:ascii="Arial" w:hAnsi="Arial"/>
          <w:sz w:val="22"/>
          <w:lang w:eastAsia="zh-CN"/>
        </w:rPr>
      </w:pPr>
      <w:bookmarkStart w:id="1" w:name="_Toc122444033"/>
      <w:r>
        <w:rPr>
          <w:rFonts w:ascii="Arial" w:hAnsi="Arial"/>
          <w:sz w:val="22"/>
          <w:lang w:eastAsia="zh-CN"/>
        </w:rPr>
        <w:t>5.2.7.2.2</w:t>
      </w:r>
      <w:r>
        <w:rPr>
          <w:rFonts w:ascii="Arial" w:hAnsi="Arial"/>
          <w:sz w:val="22"/>
          <w:lang w:eastAsia="zh-CN"/>
        </w:rPr>
        <w:tab/>
      </w:r>
      <w:r>
        <w:rPr>
          <w:rFonts w:ascii="Arial" w:hAnsi="Arial"/>
          <w:sz w:val="22"/>
          <w:lang w:eastAsia="zh-CN"/>
        </w:rPr>
        <w:t>Nnrf_NFManagement_NFRegister service operation</w:t>
      </w:r>
      <w:bookmarkEnd w:id="1"/>
    </w:p>
    <w:p>
      <w:pPr>
        <w:spacing w:line="240" w:lineRule="auto"/>
        <w:rPr>
          <w:lang w:eastAsia="zh-CN"/>
        </w:rPr>
      </w:pPr>
      <w:r>
        <w:rPr>
          <w:b/>
          <w:lang w:eastAsia="zh-CN"/>
        </w:rPr>
        <w:t xml:space="preserve">Service Operation name: </w:t>
      </w:r>
      <w:r>
        <w:rPr>
          <w:lang w:eastAsia="zh-CN"/>
        </w:rPr>
        <w:t>Nnrf_NFManagement_NFRegister.</w:t>
      </w:r>
    </w:p>
    <w:p>
      <w:pPr>
        <w:spacing w:line="240" w:lineRule="auto"/>
      </w:pPr>
      <w:r>
        <w:rPr>
          <w:b/>
        </w:rPr>
        <w:t xml:space="preserve">Description: </w:t>
      </w:r>
      <w:r>
        <w:t>Registers the consumer NF in the NRF by providing the NF profile of the consumer NF to NRF and NRF marks the consumer NF available.</w:t>
      </w:r>
    </w:p>
    <w:p>
      <w:pPr>
        <w:spacing w:line="240" w:lineRule="auto"/>
      </w:pPr>
      <w:r>
        <w:rPr>
          <w:b/>
        </w:rPr>
        <w:t>Inputs, Required:</w:t>
      </w:r>
      <w:r>
        <w:rPr>
          <w:lang w:eastAsia="zh-CN"/>
        </w:rPr>
        <w:t xml:space="preserve"> NF type, NF instance ID, FQDN or IP address of NF, Names of supported NF services (if applicable) and PLMN ID e.g. if NF needs to be discovered by other PLMNs/SNPNs.</w:t>
      </w:r>
    </w:p>
    <w:p>
      <w:pPr>
        <w:keepLines/>
        <w:overflowPunct w:val="0"/>
        <w:autoSpaceDE w:val="0"/>
        <w:autoSpaceDN w:val="0"/>
        <w:adjustRightInd w:val="0"/>
        <w:ind w:left="1135" w:hanging="851"/>
        <w:textAlignment w:val="baseline"/>
        <w:rPr>
          <w:lang w:eastAsia="en-GB"/>
        </w:rPr>
      </w:pPr>
      <w:r>
        <w:rPr>
          <w:lang w:eastAsia="en-GB"/>
        </w:rPr>
        <w:t>NOTE 1:</w:t>
      </w:r>
      <w:r>
        <w:rPr>
          <w:lang w:eastAsia="en-GB"/>
        </w:rPr>
        <w:tab/>
      </w:r>
      <w:r>
        <w:rPr>
          <w:lang w:eastAsia="en-GB"/>
        </w:rPr>
        <w:t>for the UPF, the addressing information within the NF profile corresponds to the N4 interface.</w:t>
      </w:r>
    </w:p>
    <w:p>
      <w:pPr>
        <w:keepLines/>
        <w:overflowPunct w:val="0"/>
        <w:autoSpaceDE w:val="0"/>
        <w:autoSpaceDN w:val="0"/>
        <w:adjustRightInd w:val="0"/>
        <w:ind w:left="1135" w:hanging="851"/>
        <w:textAlignment w:val="baseline"/>
        <w:rPr>
          <w:lang w:eastAsia="en-GB"/>
        </w:rPr>
      </w:pPr>
      <w:r>
        <w:rPr>
          <w:lang w:eastAsia="en-GB"/>
        </w:rPr>
        <w:t>NOTE 2:</w:t>
      </w:r>
      <w:r>
        <w:rPr>
          <w:lang w:eastAsia="en-GB"/>
        </w:rPr>
        <w:tab/>
      </w:r>
      <w:r>
        <w:rPr>
          <w:lang w:eastAsia="en-GB"/>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spacing w:line="240" w:lineRule="auto"/>
        <w:rPr>
          <w:b/>
        </w:rPr>
      </w:pPr>
      <w:r>
        <w:rPr>
          <w:b/>
        </w:rPr>
        <w:t>Inputs, Optional:</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NF stores Data Set(s) (e.g. UDR): Range(s) of SUPIs, range(s) of GPSIs, range(s) of external group identifiers, Data Set Identifier(s).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BSF: Range(s) of SUPIs, range(s) of GPSIs, Range(s) of (UE) IPv4 addresses or Range(s) of (UE) IPv6 prefixes, IP domain list as described in clause 6.1.6.2.21 of TS 29.510 [37], Range(s) of SUPIs, range(s) of GPSIs.</w:t>
      </w:r>
    </w:p>
    <w:p>
      <w:pPr>
        <w:keepLines/>
        <w:overflowPunct w:val="0"/>
        <w:autoSpaceDE w:val="0"/>
        <w:autoSpaceDN w:val="0"/>
        <w:adjustRightInd w:val="0"/>
        <w:ind w:left="1135" w:hanging="851"/>
        <w:textAlignment w:val="baseline"/>
        <w:rPr>
          <w:lang w:eastAsia="en-GB"/>
        </w:rPr>
      </w:pPr>
      <w:r>
        <w:rPr>
          <w:lang w:eastAsia="en-GB"/>
        </w:rPr>
        <w:t>NOTE 3:</w:t>
      </w:r>
      <w:r>
        <w:rPr>
          <w:lang w:eastAsia="en-GB"/>
        </w:rPr>
        <w:tab/>
      </w:r>
      <w:r>
        <w:rPr>
          <w:lang w:eastAsia="en-GB"/>
        </w:rPr>
        <w:t>Range of SUPI(s) is limited in this release to a SUPI type of IMSI as defined in TS 23.003 [33].</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UDM, UDR, PCF, BSF or AUSF, they can include UDM Group ID, UDR Group ID, PCF Group ID, BSF Group ID, AUSF Group ID respectively.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NSSAAF,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AMF, it includes list of GUAMI(s). In addition, AMF may include list of GUAMI(s) for which it can serve as backup for failure/maintenance.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CHF, it may include Range(s) of SUPIs, Range(s) of GPSIs, or Range(s) of PLMNs as defined in TS 32.290 [42].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CHF, primary CHF instance and the secondary CHF instance pair. If the CHF does not provide NF set ID or NF Service Set ID, it shall provide a primary CHF instance and the secondary CHF instance pair and otherwise it may do so.</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P-CSCF, the P-CSCF IP address(es) to be provided to the UE by SMF.</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HSS, IMPI range, IMPU range, HSS Group ID (as defined in TS 23.228 [55]) can be used as optional input parameters.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the UPF Management: UPF Provisioning Information as defined in clause 4.17.6.</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S-NSSAI(s) and the associated NSI ID(s) (if available).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DNN(s) if the consumer is PCF or BSF. DNN(s) per S-NSSAI if the consumer is SMF, UPF or TSCTSF.</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Information about the location of the NF consumer (operator specific information, e.g. geographical location, data centre).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TAI(s).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NF Set ID.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NF Service Set ID.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PCF or SMF, it includes the MA PDU Session capability to indicate if the NF instance supports MA PDU session or not.</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PCF, it includes the DNN replacement capability to indicate if the NF instance supports DNN replacement or not.</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PCF, it may include the 5G ProSe Capability as specified in TS 23.304 [77].</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PCF, it may include the V2X capability as specified in TS 23.287 [73].</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PCF, it may include the A2X capability as specified in TS 23.256 [80].</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 Details about NWDAF specific information are described in clause 6.3.13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Notification endpoint for default subscription for each type of notification that the NF is interested in receiving.</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Endpoint Address(es) of instance(s) of supported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NF capacity information.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NF priority information.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consumer is NF, SCP domain the NF belongs to.</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SCP, it may include:</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SCP domain(s) the SCP belongs to.</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Remote PLMNs reachable through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Endpoint addresses or Address Domain(s) (e.g. IP Address or FQDN ranges) accessible via the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sets of NFs served by the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If the consumer NF is MB-SMF, it may include MB-SMF service area and the MBS Session ID(s), Area Session ID(s), the corresponding MBS service area(s) if available, as specified in TS 23.247 [78].</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DCCF, the request may include DCCF Serving Area information, NF type of the NF data source, NF Set ID of the NF data sources</w:t>
      </w:r>
      <w:ins w:id="2" w:author="CMCC" w:date="2023-04-04T17:24:00Z">
        <w:r>
          <w:rPr>
            <w:lang w:val="en-US" w:eastAsia="en-GB"/>
          </w:rPr>
          <w:t>, relocation</w:t>
        </w:r>
      </w:ins>
      <w:ins w:id="3" w:author="CMCC" w:date="2023-04-04T17:24:00Z">
        <w:del w:id="4" w:author="CMCC r01" w:date="2023-04-18T17:12:32Z">
          <w:r>
            <w:rPr>
              <w:lang w:val="en-US" w:eastAsia="en-GB"/>
            </w:rPr>
            <w:delText xml:space="preserve"> </w:delText>
          </w:r>
        </w:del>
      </w:ins>
      <w:ins w:id="5" w:author="CMCC" w:date="2023-04-04T17:24:00Z">
        <w:del w:id="6" w:author="CMCC r01" w:date="2023-04-18T17:12:31Z">
          <w:r>
            <w:rPr>
              <w:lang w:val="en-US" w:eastAsia="en-GB"/>
            </w:rPr>
            <w:delText>indicator</w:delText>
          </w:r>
        </w:del>
      </w:ins>
      <w:r>
        <w:rPr>
          <w:lang w:eastAsia="en-GB"/>
        </w:rPr>
        <w:t>. Details about DCCF discovery and selection are described in clause 6.3.19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EASDF, it may include S-NSSAI, DNN, N6 IP address of the PSA UPF, location as per NF profile and DNAI (if exists).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ON-SNPN, if the consumer is AMF, Capability to support SNPN Onboarding, or, if the consumer is SMF, Capability to support User Plane Remote Provisioning.</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NEF, it includes the support for UAS NF functionality.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UPF and UPF can expose NAT information, it may include the range of IP addresses the NAT uses towards the DN (e.g. public IP addresses). This IP address range may be on a per IP domain, DNN and S-NSSAI.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DCSF, it may include an IMS domain name or a list of IMS domain names it serves, IMPU range of calling identity or called identity it serves, or IMPI range it serves.</w:t>
      </w:r>
    </w:p>
    <w:p>
      <w:pPr>
        <w:spacing w:line="240" w:lineRule="auto"/>
      </w:pPr>
      <w:r>
        <w:rPr>
          <w:b/>
        </w:rPr>
        <w:t xml:space="preserve">Outputs, Required: </w:t>
      </w:r>
      <w:r>
        <w:t>Result indication.</w:t>
      </w:r>
    </w:p>
    <w:p>
      <w:pPr>
        <w:spacing w:line="240" w:lineRule="auto"/>
        <w:rPr>
          <w:lang w:eastAsia="zh-CN"/>
        </w:rPr>
      </w:pPr>
      <w:r>
        <w:rPr>
          <w:b/>
        </w:rPr>
        <w:t>Outputs, Optional:</w:t>
      </w:r>
      <w:r>
        <w:t xml:space="preserve"> </w:t>
      </w:r>
      <w:r>
        <w:rPr>
          <w:lang w:eastAsia="zh-CN"/>
        </w:rPr>
        <w:t>None.</w:t>
      </w:r>
    </w:p>
    <w:p>
      <w:pPr>
        <w:spacing w:line="240" w:lineRule="auto"/>
        <w:rPr>
          <w:rFonts w:eastAsia="宋体"/>
        </w:rPr>
      </w:pPr>
      <w:r>
        <w:rPr>
          <w:rFonts w:eastAsia="宋体"/>
          <w:lang w:eastAsia="zh-CN"/>
        </w:rPr>
        <w:t>See clause 5.21.2.1 in TS 23.501 [2], the AMF registers itself to NRF.</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pPr>
        <w:keepNext/>
        <w:keepLines/>
        <w:spacing w:before="120"/>
        <w:ind w:left="1701" w:hanging="1701"/>
        <w:outlineLvl w:val="4"/>
        <w:rPr>
          <w:rFonts w:ascii="Arial" w:hAnsi="Arial"/>
          <w:sz w:val="22"/>
          <w:lang w:eastAsia="zh-CN"/>
        </w:rPr>
      </w:pPr>
      <w:bookmarkStart w:id="2" w:name="_Toc47593164"/>
      <w:bookmarkStart w:id="3" w:name="_Toc36192429"/>
      <w:bookmarkStart w:id="4" w:name="_Toc27895326"/>
      <w:bookmarkStart w:id="5" w:name="_Toc45193532"/>
      <w:bookmarkStart w:id="6" w:name="_Toc20204620"/>
      <w:bookmarkStart w:id="7" w:name="_Toc122444036"/>
      <w:bookmarkStart w:id="8" w:name="_Toc51835251"/>
      <w:r>
        <w:rPr>
          <w:rFonts w:ascii="Arial" w:hAnsi="Arial"/>
          <w:sz w:val="22"/>
          <w:lang w:eastAsia="zh-CN"/>
        </w:rPr>
        <w:t>5.2.7.2.5</w:t>
      </w:r>
      <w:r>
        <w:rPr>
          <w:rFonts w:ascii="Arial" w:hAnsi="Arial"/>
          <w:sz w:val="22"/>
          <w:lang w:eastAsia="zh-CN"/>
        </w:rPr>
        <w:tab/>
      </w:r>
      <w:r>
        <w:rPr>
          <w:rFonts w:ascii="Arial" w:hAnsi="Arial"/>
          <w:sz w:val="22"/>
          <w:lang w:eastAsia="zh-CN"/>
        </w:rPr>
        <w:t>Nnrf_NFManagement_NFStatusSubscribe service operation</w:t>
      </w:r>
      <w:bookmarkEnd w:id="2"/>
      <w:bookmarkEnd w:id="3"/>
      <w:bookmarkEnd w:id="4"/>
      <w:bookmarkEnd w:id="5"/>
      <w:bookmarkEnd w:id="6"/>
      <w:bookmarkEnd w:id="7"/>
      <w:bookmarkEnd w:id="8"/>
    </w:p>
    <w:p>
      <w:pPr>
        <w:spacing w:line="240" w:lineRule="auto"/>
        <w:rPr>
          <w:b/>
          <w:lang w:eastAsia="zh-CN"/>
        </w:rPr>
      </w:pPr>
      <w:r>
        <w:rPr>
          <w:b/>
          <w:lang w:eastAsia="zh-CN"/>
        </w:rPr>
        <w:t xml:space="preserve">Service Operation name: </w:t>
      </w:r>
      <w:r>
        <w:rPr>
          <w:lang w:eastAsia="zh-CN"/>
        </w:rPr>
        <w:t>Nnrf_NFManagement_NFStatusSubscribe.</w:t>
      </w:r>
    </w:p>
    <w:p>
      <w:pPr>
        <w:spacing w:line="240" w:lineRule="auto"/>
      </w:pPr>
      <w:r>
        <w:rPr>
          <w:b/>
        </w:rPr>
        <w:t xml:space="preserve">Description: </w:t>
      </w:r>
      <w:r>
        <w:t>Consumer can subscribe to be notified of the following:</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Newly registered NF along with its NF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Updated NF profile.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Deregistered NF.</w:t>
      </w:r>
    </w:p>
    <w:p>
      <w:pPr>
        <w:spacing w:line="240" w:lineRule="auto"/>
      </w:pPr>
      <w:r>
        <w:rPr>
          <w:b/>
        </w:rPr>
        <w:t>Inputs, Required:</w:t>
      </w:r>
      <w:r>
        <w:rPr>
          <w:lang w:eastAsia="zh-CN"/>
        </w:rPr>
        <w:t xml:space="preserve"> callback URI.</w:t>
      </w:r>
    </w:p>
    <w:p>
      <w:pPr>
        <w:spacing w:line="240" w:lineRule="auto"/>
        <w:rPr>
          <w:lang w:eastAsia="zh-CN"/>
        </w:rPr>
      </w:pPr>
      <w:r>
        <w:rPr>
          <w:b/>
        </w:rPr>
        <w:t>Inputs, Optional:</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PLMN ID of the target NF/NF service, in the case of the subscription to the status of NF/NF service instance(s) in home PLMN from the serving PLMN, or PLMN ID and NID in the case of SNPN (see clause 5.30.2.9.3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Validity Time, in case to indicate the time instant after which the subscription becomes invalid.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updated NF profile subscription, conditions that trigger a notification from NRF. Includes monitored attributes in the NF profile (changes trigger a notification) or unmonitored attributes in the NF profile (changes do not trigger a notification)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following parameters are mutually exclusive:</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Type (if NF status of a specific NF type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Instance ID or NF Instance ID list (if NF status of a specific NF instance or a list of NF instance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Service name (if NF status for NF which exposes a given NF service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Set (if NF status of a set of NF Instances belonging to a certain NF Set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Service Set (if the status of a set of NF Service Instances belonging to a certain NF Service Set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Group (if the NF status of NF Instances identified by a NF (UDM, AUSF, PCF, BSF, CHF, HSS or UDR) Group Identity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SCP Domain (if the status of NF or SCP instances belonging to a certain SCP domain is to be monitored).</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For the UPF Management defined in clause 4.17.6: UPF Provisioning Information as defined in that clause.</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For AMF, Consumer may include list of GUAMI(s), or AMF Set or AMF Region, or TAIs.</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For SMF, Consumer may include list of TAIs.</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S-NSSAI(s) and the associated NSI ID(s) (if available).</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For NWDAF, Consumer may include Analytics ID(s) (possibly per service), TAI(s), NF Set ID and NF Type of NF data sources.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Details about NWDAF discovery and selection are described in clause 6.3.13 of TS 23.501 [2].</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For NEF, Consumer may include Event ID(s) provided by AF.</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For DCCF, Consumer may include TAI(s), NF type of the NF data sources, NF Set ID of the NF data sources</w:t>
      </w:r>
      <w:ins w:id="7" w:author="CMCC" w:date="2023-04-04T17:28:00Z">
        <w:r>
          <w:rPr>
            <w:lang w:val="en-US" w:eastAsia="en-GB"/>
          </w:rPr>
          <w:t>, relocation</w:t>
        </w:r>
      </w:ins>
      <w:ins w:id="8" w:author="CMCC" w:date="2023-04-04T17:28:00Z">
        <w:del w:id="9" w:author="CMCC r01" w:date="2023-04-18T17:12:42Z">
          <w:r>
            <w:rPr>
              <w:lang w:val="en-US" w:eastAsia="en-GB"/>
            </w:rPr>
            <w:delText xml:space="preserve"> indicator</w:delText>
          </w:r>
        </w:del>
      </w:ins>
      <w:r>
        <w:rPr>
          <w:lang w:eastAsia="en-GB"/>
        </w:rPr>
        <w:t>. Details about NWDAF discovery and selection are described in clause 6.3.19 of TS 23.501 [2].</w:t>
      </w:r>
    </w:p>
    <w:p>
      <w:pPr>
        <w:spacing w:line="240" w:lineRule="auto"/>
      </w:pPr>
      <w:r>
        <w:rPr>
          <w:b/>
        </w:rPr>
        <w:t>Outputs, Required:</w:t>
      </w:r>
      <w:r>
        <w:rPr>
          <w:lang w:eastAsia="zh-CN"/>
        </w:rPr>
        <w:t xml:space="preserve"> When the subscription is accepted: Subscription Correlation ID (required for management of this subscription), Validity Time.</w:t>
      </w:r>
    </w:p>
    <w:p>
      <w:pPr>
        <w:spacing w:line="240" w:lineRule="auto"/>
        <w:rPr>
          <w:lang w:eastAsia="zh-CN"/>
        </w:rPr>
      </w:pPr>
      <w:r>
        <w:rPr>
          <w:b/>
        </w:rPr>
        <w:t>Outputs, Optional:</w:t>
      </w:r>
      <w:r>
        <w:t xml:space="preserve"> </w:t>
      </w:r>
      <w:r>
        <w:rPr>
          <w:lang w:eastAsia="zh-CN"/>
        </w:rPr>
        <w:t>None.</w:t>
      </w:r>
    </w:p>
    <w:p>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lang w:eastAsia="zh-CN"/>
        </w:rPr>
        <w:t>Alternatively, other means such as OA&amp;M can also be used to subscribe for NF status.</w:t>
      </w:r>
    </w:p>
    <w:p>
      <w:pPr>
        <w:spacing w:line="240" w:lineRule="auto"/>
        <w:rPr>
          <w:rFonts w:eastAsia="宋体"/>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pPr>
        <w:keepNext/>
        <w:keepLines/>
        <w:spacing w:before="120"/>
        <w:ind w:left="1701" w:hanging="1701"/>
        <w:outlineLvl w:val="4"/>
        <w:rPr>
          <w:rFonts w:ascii="Arial" w:hAnsi="Arial"/>
          <w:sz w:val="22"/>
          <w:lang w:eastAsia="zh-CN"/>
        </w:rPr>
      </w:pPr>
      <w:bookmarkStart w:id="9" w:name="_Toc47593169"/>
      <w:bookmarkStart w:id="10" w:name="_Toc122444041"/>
      <w:bookmarkStart w:id="11" w:name="_Toc51835256"/>
      <w:bookmarkStart w:id="12" w:name="_Toc45193537"/>
      <w:r>
        <w:rPr>
          <w:rFonts w:ascii="Arial" w:hAnsi="Arial"/>
          <w:sz w:val="22"/>
          <w:lang w:eastAsia="zh-CN"/>
        </w:rPr>
        <w:t>5.2.7.3.2</w:t>
      </w:r>
      <w:r>
        <w:rPr>
          <w:rFonts w:ascii="Arial" w:hAnsi="Arial"/>
          <w:sz w:val="22"/>
          <w:lang w:eastAsia="zh-CN"/>
        </w:rPr>
        <w:tab/>
      </w:r>
      <w:r>
        <w:rPr>
          <w:rFonts w:ascii="Arial" w:hAnsi="Arial"/>
          <w:sz w:val="22"/>
          <w:lang w:eastAsia="zh-CN"/>
        </w:rPr>
        <w:t>Nnrf_NFDiscovery_Request service operation</w:t>
      </w:r>
      <w:bookmarkEnd w:id="9"/>
      <w:bookmarkEnd w:id="10"/>
      <w:bookmarkEnd w:id="11"/>
      <w:bookmarkEnd w:id="12"/>
    </w:p>
    <w:p>
      <w:pPr>
        <w:spacing w:line="240" w:lineRule="auto"/>
        <w:rPr>
          <w:b/>
          <w:lang w:eastAsia="zh-CN"/>
        </w:rPr>
      </w:pPr>
      <w:r>
        <w:rPr>
          <w:b/>
          <w:lang w:eastAsia="zh-CN"/>
        </w:rPr>
        <w:t xml:space="preserve">Service operation name: </w:t>
      </w:r>
      <w:r>
        <w:rPr>
          <w:lang w:eastAsia="zh-CN"/>
        </w:rPr>
        <w:t>Nnrf_NFDiscovery_Request</w:t>
      </w:r>
    </w:p>
    <w:p>
      <w:pPr>
        <w:spacing w:line="240" w:lineRule="auto"/>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spacing w:line="240" w:lineRule="auto"/>
        <w:rPr>
          <w:lang w:eastAsia="zh-CN"/>
        </w:rPr>
      </w:pPr>
      <w:r>
        <w:rPr>
          <w:b/>
        </w:rPr>
        <w:t>Inputs, Required:</w:t>
      </w:r>
      <w:r>
        <w:rPr>
          <w:lang w:eastAsia="zh-CN"/>
        </w:rPr>
        <w:t xml:space="preserve"> one or more target NF service Name(s), NF type of the target NF, NF type of the NF service consumer.</w:t>
      </w:r>
    </w:p>
    <w:p>
      <w:pPr>
        <w:spacing w:line="240" w:lineRule="auto"/>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pPr>
        <w:spacing w:line="240" w:lineRule="auto"/>
      </w:pPr>
      <w:r>
        <w:rPr>
          <w:b/>
        </w:rPr>
        <w:t>Inputs, Optional:</w:t>
      </w:r>
    </w:p>
    <w:p>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en-GB"/>
        </w:rP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keepLines/>
        <w:overflowPunct w:val="0"/>
        <w:autoSpaceDE w:val="0"/>
        <w:autoSpaceDN w:val="0"/>
        <w:adjustRightInd w:val="0"/>
        <w:ind w:left="1135" w:hanging="851"/>
        <w:textAlignment w:val="baseline"/>
        <w:rPr>
          <w:lang w:eastAsia="zh-CN"/>
        </w:rPr>
      </w:pPr>
      <w:r>
        <w:rPr>
          <w:lang w:eastAsia="zh-CN"/>
        </w:rPr>
        <w:t>NOTE 1:</w:t>
      </w:r>
      <w:r>
        <w:rPr>
          <w:lang w:eastAsia="zh-CN"/>
        </w:rPr>
        <w:tab/>
      </w:r>
      <w:r>
        <w:rPr>
          <w:lang w:eastAsia="zh-CN"/>
        </w:rPr>
        <w:t>For network slicing the NF service consumer ID is a required input.</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(e.g. UDR, BSF): SUPI, GPSI, IMPI, IMPU, Data Set Identifier(s). (UE) IPv4 address, IP domain or (UE) IPv6 Prefix.</w:t>
      </w:r>
    </w:p>
    <w:p>
      <w:pPr>
        <w:keepLines/>
        <w:overflowPunct w:val="0"/>
        <w:autoSpaceDE w:val="0"/>
        <w:autoSpaceDN w:val="0"/>
        <w:adjustRightInd w:val="0"/>
        <w:ind w:left="1135" w:hanging="851"/>
        <w:textAlignment w:val="baseline"/>
        <w:rPr>
          <w:lang w:eastAsia="zh-CN"/>
        </w:rPr>
      </w:pPr>
      <w:r>
        <w:rPr>
          <w:lang w:eastAsia="zh-CN"/>
        </w:rPr>
        <w:t>NOTE 2:</w:t>
      </w:r>
      <w:r>
        <w:rPr>
          <w:lang w:eastAsia="zh-CN"/>
        </w:rPr>
        <w:tab/>
      </w:r>
      <w:r>
        <w:rPr>
          <w:lang w:eastAsia="zh-CN"/>
        </w:rPr>
        <w:t>GPSI is relevant for BSF.</w:t>
      </w:r>
    </w:p>
    <w:p>
      <w:pPr>
        <w:keepLines/>
        <w:overflowPunct w:val="0"/>
        <w:autoSpaceDE w:val="0"/>
        <w:autoSpaceDN w:val="0"/>
        <w:adjustRightInd w:val="0"/>
        <w:ind w:left="1135" w:hanging="851"/>
        <w:textAlignment w:val="baseline"/>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pPr>
        <w:keepLines/>
        <w:overflowPunct w:val="0"/>
        <w:autoSpaceDE w:val="0"/>
        <w:autoSpaceDN w:val="0"/>
        <w:adjustRightInd w:val="0"/>
        <w:ind w:left="1135" w:hanging="851"/>
        <w:textAlignment w:val="baseline"/>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AMF and the consumer NF is other than MB-SMF, the request may include:</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AMF region, AMF Set, GUAMI and Target TAI(s).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keepLines/>
        <w:overflowPunct w:val="0"/>
        <w:autoSpaceDE w:val="0"/>
        <w:autoSpaceDN w:val="0"/>
        <w:adjustRightInd w:val="0"/>
        <w:ind w:left="1135" w:hanging="851"/>
        <w:textAlignment w:val="baseline"/>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UDM, the request may include SUPI, GPSI, Internal Group ID and External Group ID.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pPr>
        <w:keepLines/>
        <w:overflowPunct w:val="0"/>
        <w:autoSpaceDE w:val="0"/>
        <w:autoSpaceDN w:val="0"/>
        <w:adjustRightInd w:val="0"/>
        <w:ind w:left="1135" w:hanging="851"/>
        <w:textAlignment w:val="baseline"/>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keepLines/>
        <w:overflowPunct w:val="0"/>
        <w:autoSpaceDE w:val="0"/>
        <w:autoSpaceDN w:val="0"/>
        <w:adjustRightInd w:val="0"/>
        <w:ind w:left="1135" w:hanging="851"/>
        <w:textAlignment w:val="baseline"/>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lang w:eastAsia="en-GB"/>
        </w:rPr>
        <w:t>as specified in TS 32.290 [42].</w:t>
      </w:r>
    </w:p>
    <w:p>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pPr>
        <w:keepLines/>
        <w:overflowPunct w:val="0"/>
        <w:autoSpaceDE w:val="0"/>
        <w:autoSpaceDN w:val="0"/>
        <w:adjustRightInd w:val="0"/>
        <w:ind w:left="1135" w:hanging="851"/>
        <w:textAlignment w:val="baseline"/>
        <w:rPr>
          <w:lang w:eastAsia="en-GB"/>
        </w:rPr>
      </w:pPr>
      <w:r>
        <w:rPr>
          <w:lang w:eastAsia="en-GB"/>
        </w:rPr>
        <w:t>NOTE 8:</w:t>
      </w:r>
      <w:r>
        <w:rPr>
          <w:lang w:eastAsia="en-GB"/>
        </w:rPr>
        <w:tab/>
      </w:r>
      <w:r>
        <w:rPr>
          <w:lang w:eastAsia="en-GB"/>
        </w:rPr>
        <w:t>Analytics metadata provisioning capability is only applicable when NF service consumer is NWDAF.</w:t>
      </w:r>
    </w:p>
    <w:p>
      <w:pPr>
        <w:keepLines/>
        <w:overflowPunct w:val="0"/>
        <w:autoSpaceDE w:val="0"/>
        <w:autoSpaceDN w:val="0"/>
        <w:adjustRightInd w:val="0"/>
        <w:ind w:left="1135" w:hanging="851"/>
        <w:textAlignment w:val="baseline"/>
        <w:rPr>
          <w:lang w:eastAsia="en-GB"/>
        </w:rPr>
      </w:pPr>
      <w:r>
        <w:rPr>
          <w:lang w:eastAsia="en-GB"/>
        </w:rPr>
        <w:t>NOTE 9:</w:t>
      </w:r>
      <w:r>
        <w:rPr>
          <w:lang w:eastAsia="en-GB"/>
        </w:rPr>
        <w:tab/>
      </w:r>
      <w:r>
        <w:rPr>
          <w:lang w:eastAsia="en-GB"/>
        </w:rPr>
        <w:t>NF consumer information such as vendor ID is defined in stage 3.</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HSS, the request may include IMPI, and/or IMPU and/or HSS Group ID.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NF service consumer needs to discover NF service producer instance(s) within an NF instance, the request includes the target NF Instance ID and NF Service Set ID of the producer.</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NF service consumer needs to discover NF service producer instance(s) in an equivalent NF Service Set within an NF Set, the request includes the identification of the equivalent NF service Set and NF Set ID of producer.</w:t>
      </w:r>
    </w:p>
    <w:p>
      <w:pPr>
        <w:keepLines/>
        <w:overflowPunct w:val="0"/>
        <w:autoSpaceDE w:val="0"/>
        <w:autoSpaceDN w:val="0"/>
        <w:adjustRightInd w:val="0"/>
        <w:ind w:left="1135" w:hanging="851"/>
        <w:textAlignment w:val="baseline"/>
        <w:rPr>
          <w:lang w:eastAsia="en-GB"/>
        </w:rPr>
      </w:pPr>
      <w:r>
        <w:rPr>
          <w:lang w:eastAsia="en-GB"/>
        </w:rPr>
        <w:t>NOTE 10:</w:t>
      </w:r>
      <w:r>
        <w:rPr>
          <w:lang w:eastAsia="en-GB"/>
        </w:rPr>
        <w:tab/>
      </w:r>
      <w:r>
        <w:rPr>
          <w:lang w:eastAsia="en-GB"/>
        </w:rPr>
        <w:t>TS 29.510 [37] specifies the mechanism to identify equivalent NF Service Sets.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NF service consumer needs to discover NF service producer instance(s) in the NF Set, the request includes the target NF Set ID of the producer.</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SMF, the request may include:</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the UE location (TAI); or</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TAI list.</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P-CSCF, the request may include UE location information, UE IP address/IP prefix, Access Type.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SMF, the request may include the Control Plane CIoT 5GS Optimisation Indication or User Plane CIoT 5GS Optimisation Indication.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NSACF, the request may include S-NSSAI(s) of the NSACF located network and served by NSACF, NSACF Serving Area information and NSACF service capability. Details about NSACF discovery and selection are described in clause 6.3.22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SCP, the request may include information about:</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SCP domain(s).</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Remote PLMN reachable through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Endpoint addresses or Address Domain(s) (e.g. IP Address or FQDN ranges) accessible via the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sets of NFs served by the SCP.</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MB-SMF, the request may include UE location (i.e. TAI), MBS Session ID and Area Session ID. Details about MB-SMF discovery and selection are described in TS 23.247 [78].</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5G DDNMF, the request may include SUPI, IP Address or FQDN of 5G DDNMF.</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DCCF, the request may include TAI(s), NF type of the NF data sources, NF Set ID of the NF data sources</w:t>
      </w:r>
      <w:ins w:id="10" w:author="CMCC" w:date="2023-04-04T17:31:00Z">
        <w:r>
          <w:rPr>
            <w:lang w:val="en-US" w:eastAsia="en-GB"/>
          </w:rPr>
          <w:t>, relocation</w:t>
        </w:r>
      </w:ins>
      <w:ins w:id="11" w:author="CMCC" w:date="2023-04-04T17:31:00Z">
        <w:del w:id="12" w:author="CMCC r01" w:date="2023-04-18T17:12:49Z">
          <w:r>
            <w:rPr>
              <w:lang w:val="en-US" w:eastAsia="en-GB"/>
            </w:rPr>
            <w:delText xml:space="preserve"> indicator</w:delText>
          </w:r>
        </w:del>
      </w:ins>
      <w:r>
        <w:rPr>
          <w:lang w:eastAsia="en-GB"/>
        </w:rPr>
        <w:t>. Details about DCCF discovery and selection are described in clause 6.3.19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EASDF, the request may include S-NSSAI, DNN, N6 IP address of the PSA UPF, location as per NF profile and DNAI(if exist). Details about EASDF discovery and selection are described in clause 6.3.23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AMF, the request may include the support of SNPN Onboarding to indicate whether the target NF instance supports SNPN Onboarding or not.</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SMF, the request may include the support of User Plane Remote Provisioning to indicate whether the target NF instance supports User Plane Remote Provisioning or not as described in clause 5.30.2.10.4.3 of TS 23.501 [2].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NEF, the request may include the support of UAS NF functionality.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NSSAAF, the request may include SUPI or Internal Group ID.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DCSF, the request may include IMPU of calling party, SIP URI or Tel URI of called party.</w:t>
      </w:r>
    </w:p>
    <w:p>
      <w:pPr>
        <w:spacing w:line="240" w:lineRule="auto"/>
      </w:pPr>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pPr>
        <w:spacing w:line="240" w:lineRule="auto"/>
      </w:pPr>
      <w:r>
        <w:rPr>
          <w:lang w:eastAsia="zh-CN"/>
        </w:rPr>
        <w:t>Endpoint Address(es) may be a list of IP addresses or an FQDN for the NF service instance.</w:t>
      </w:r>
    </w:p>
    <w:p>
      <w:pPr>
        <w:keepLines/>
        <w:overflowPunct w:val="0"/>
        <w:autoSpaceDE w:val="0"/>
        <w:autoSpaceDN w:val="0"/>
        <w:adjustRightInd w:val="0"/>
        <w:ind w:left="1135" w:hanging="851"/>
        <w:textAlignment w:val="baseline"/>
        <w:rPr>
          <w:lang w:eastAsia="en-GB"/>
        </w:rPr>
      </w:pPr>
      <w:r>
        <w:rPr>
          <w:lang w:eastAsia="en-GB"/>
        </w:rPr>
        <w:t>NOTE 11:</w:t>
      </w:r>
      <w:r>
        <w:rPr>
          <w:lang w:eastAsia="en-GB"/>
        </w:rPr>
        <w:tab/>
      </w:r>
      <w:r>
        <w:rPr>
          <w:lang w:eastAsia="en-GB"/>
        </w:rPr>
        <w:t>SCPs does not have any service instances.</w:t>
      </w:r>
    </w:p>
    <w:p>
      <w:pPr>
        <w:spacing w:line="240" w:lineRule="auto"/>
        <w:rPr>
          <w:lang w:eastAsia="zh-CN"/>
        </w:rPr>
      </w:pPr>
      <w:r>
        <w:rPr>
          <w:b/>
        </w:rPr>
        <w:t xml:space="preserve">Outputs, Optional: </w:t>
      </w:r>
      <w:r>
        <w:t>Per NF instance, other information in the NF profile listed in clause 6.2.6 in TS 23.501 [2] related to the NF instance, such as: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NF load information.</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NF capacity information.</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NF priority information.</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keepLines/>
        <w:overflowPunct w:val="0"/>
        <w:autoSpaceDE w:val="0"/>
        <w:autoSpaceDN w:val="0"/>
        <w:adjustRightInd w:val="0"/>
        <w:ind w:left="1135" w:hanging="851"/>
        <w:textAlignment w:val="baseline"/>
        <w:rPr>
          <w:lang w:eastAsia="ko-KR"/>
        </w:rPr>
      </w:pPr>
      <w:r>
        <w:rPr>
          <w:lang w:eastAsia="ko-KR"/>
        </w:rPr>
        <w:t>NOTE 12:</w:t>
      </w:r>
      <w:r>
        <w:rPr>
          <w:lang w:eastAsia="ko-KR"/>
        </w:rPr>
        <w:tab/>
      </w:r>
      <w:r>
        <w:rPr>
          <w:lang w:eastAsia="ko-KR"/>
        </w:rPr>
        <w:t>Range of SUPI(s) is limited in this release to a SUPI type of IMSI as defined in TS 23.003 [33].</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HSS, it can include HSS Group ID.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UDM and AUSF, Routing Indicator, or Routing Indicator and Home Network Public Key identifier.</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rPr>
          <w:lang w:eastAsia="en-GB"/>
        </w:rPr>
        <w:t>primary CHF instance and the secondary CHF instance pair(s), if configured in CHF instance profile.</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the UPF Management: UPF Provisioning Information as defined in clause 4.17.6.</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S-NSSAI(s) and the associated NSI ID(s) (if available).</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Information about the location of the target NF (operator specific information, e.g. geographical location, data centre).</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TAI(s).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PLMN ID.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 Details about NWDAF specific information are described in clause 6.3.13 of TS 23.501 [2].</w:t>
      </w:r>
    </w:p>
    <w:p>
      <w:pPr>
        <w:keepLines/>
        <w:overflowPunct w:val="0"/>
        <w:autoSpaceDE w:val="0"/>
        <w:autoSpaceDN w:val="0"/>
        <w:adjustRightInd w:val="0"/>
        <w:ind w:left="1135" w:hanging="851"/>
        <w:textAlignment w:val="baseline"/>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NF Set ID.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NF Service Set ID.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SMF, it may include the SMF(s) Service Area.</w:t>
      </w:r>
    </w:p>
    <w:p>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lang w:eastAsia="en-GB"/>
        </w:rPr>
        <w:t>If no SMF Service Area is provided, the AMF assumes that a SMF can serve the whole PLMN.</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NEF, it may include Event ID(s) provided by AF and/or it includes one or multiple combination(s) of the S-NSSAI and DNN corresponding to the untrusted AF served by the NEF.</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SCP domain the NF belongs to.</w:t>
      </w:r>
    </w:p>
    <w:p>
      <w:pPr>
        <w:keepLines/>
        <w:overflowPunct w:val="0"/>
        <w:autoSpaceDE w:val="0"/>
        <w:autoSpaceDN w:val="0"/>
        <w:adjustRightInd w:val="0"/>
        <w:ind w:left="1135" w:hanging="851"/>
        <w:textAlignment w:val="baseline"/>
        <w:rPr>
          <w:lang w:eastAsia="en-GB"/>
        </w:rPr>
      </w:pPr>
      <w:r>
        <w:rPr>
          <w:lang w:eastAsia="en-GB"/>
        </w:rPr>
        <w:t>NOTE 15:</w:t>
      </w:r>
      <w:r>
        <w:rPr>
          <w:lang w:eastAsia="en-GB"/>
        </w:rPr>
        <w:tab/>
      </w:r>
      <w:r>
        <w:rPr>
          <w:lang w:eastAsia="en-GB"/>
        </w:rPr>
        <w:t>Only one SCP domain is registered in NF profile for an NF.</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is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SCP domain(s).</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Remote PLMNs reachable through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Endpoint addresses or Address Domain(s) (e.g. IP Address or FQDN ranges) accessible via the SCP.</w:t>
      </w:r>
    </w:p>
    <w:p>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NF sets of NFs served by the SCP.</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5G DDNMF, it may include IP Address or FQDN of 5G DDNMF.</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MB-SMF, it may include the MBS Session ID(s), Area Session ID(s), corresponding MBS service area(s) as described in TS 23.247 [78].</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target NF is DCCF, it includes DCCF serving area information, NF type of the NF data sources, NF Set ID of the NF data sources</w:t>
      </w:r>
      <w:ins w:id="13" w:author="CMCC" w:date="2023-04-04T17:31:00Z">
        <w:r>
          <w:rPr>
            <w:lang w:val="en-US" w:eastAsia="en-GB"/>
          </w:rPr>
          <w:t>, relocation</w:t>
        </w:r>
      </w:ins>
      <w:ins w:id="14" w:author="CMCC" w:date="2023-04-04T17:31:00Z">
        <w:del w:id="15" w:author="CMCC r01" w:date="2023-04-18T17:12:55Z">
          <w:bookmarkStart w:id="13" w:name="_GoBack"/>
          <w:bookmarkEnd w:id="13"/>
          <w:r>
            <w:rPr>
              <w:lang w:val="en-US" w:eastAsia="en-GB"/>
            </w:rPr>
            <w:delText xml:space="preserve"> indicator</w:delText>
          </w:r>
        </w:del>
      </w:ins>
      <w:r>
        <w:rPr>
          <w:lang w:eastAsia="en-GB"/>
        </w:rPr>
        <w:t>. Details about DCCF specific information are described in clause 6.3.19 of TS 23.501 [2].</w:t>
      </w:r>
    </w:p>
    <w:p>
      <w:pPr>
        <w:spacing w:line="240" w:lineRule="auto"/>
        <w:rPr>
          <w:b/>
        </w:rPr>
      </w:pPr>
      <w:r>
        <w:t>See clause 4.17.4 and 4.17.5 for details on the usage of this service operation.</w:t>
      </w:r>
    </w:p>
    <w:p>
      <w:pPr>
        <w:spacing w:line="240" w:lineRule="auto"/>
        <w:rPr>
          <w:rFonts w:eastAsia="宋体"/>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 r01">
    <w15:presenceInfo w15:providerId="None" w15:userId="CMCC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AEB7BC8"/>
    <w:rsid w:val="0B3C5B22"/>
    <w:rsid w:val="0CC81372"/>
    <w:rsid w:val="0D8052AB"/>
    <w:rsid w:val="0F6A589A"/>
    <w:rsid w:val="10B67E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C3B3E97"/>
    <w:rsid w:val="5E9F699D"/>
    <w:rsid w:val="5EE35469"/>
    <w:rsid w:val="5F7A5717"/>
    <w:rsid w:val="64123A8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99"/>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link w:val="103"/>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pPr>
      <w:spacing w:before="120" w:after="120"/>
    </w:pPr>
    <w:rPr>
      <w:rFonts w:eastAsia="宋体"/>
      <w:b/>
    </w:rPr>
  </w:style>
  <w:style w:type="paragraph" w:styleId="20">
    <w:name w:val="Document Map"/>
    <w:basedOn w:val="1"/>
    <w:link w:val="79"/>
    <w:qFormat/>
    <w:uiPriority w:val="0"/>
    <w:rPr>
      <w:rFonts w:ascii="宋体" w:eastAsia="宋体"/>
      <w:sz w:val="18"/>
      <w:szCs w:val="18"/>
    </w:rPr>
  </w:style>
  <w:style w:type="paragraph" w:styleId="21">
    <w:name w:val="annotation text"/>
    <w:basedOn w:val="1"/>
    <w:link w:val="90"/>
    <w:qFormat/>
    <w:uiPriority w:val="0"/>
    <w:rPr>
      <w:rFonts w:eastAsia="宋体"/>
    </w:rPr>
  </w:style>
  <w:style w:type="paragraph" w:styleId="22">
    <w:name w:val="Body Text"/>
    <w:basedOn w:val="1"/>
    <w:unhideWhenUsed/>
    <w:qFormat/>
    <w:uiPriority w:val="0"/>
    <w:pPr>
      <w:spacing w:after="120"/>
    </w:pPr>
  </w:style>
  <w:style w:type="paragraph" w:styleId="23">
    <w:name w:val="List 2"/>
    <w:qFormat/>
    <w:uiPriority w:val="0"/>
    <w:pPr>
      <w:spacing w:after="180"/>
      <w:ind w:left="566" w:hanging="283"/>
      <w:contextualSpacing/>
    </w:pPr>
    <w:rPr>
      <w:rFonts w:ascii="Times New Roman" w:hAnsi="Times New Roman" w:eastAsia="Times New Roman" w:cs="Times New Roman"/>
      <w:lang w:val="en-GB" w:eastAsia="en-US" w:bidi="ar-SA"/>
    </w:rPr>
  </w:style>
  <w:style w:type="paragraph" w:styleId="24">
    <w:name w:val="toc 8"/>
    <w:basedOn w:val="18"/>
    <w:next w:val="1"/>
    <w:qFormat/>
    <w:uiPriority w:val="39"/>
    <w:pPr>
      <w:spacing w:before="180"/>
      <w:ind w:left="2693" w:hanging="2693"/>
    </w:pPr>
    <w:rPr>
      <w:b/>
    </w:rPr>
  </w:style>
  <w:style w:type="paragraph" w:styleId="25">
    <w:name w:val="Balloon Text"/>
    <w:basedOn w:val="1"/>
    <w:link w:val="77"/>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8">
    <w:name w:val="List"/>
    <w:basedOn w:val="1"/>
    <w:qFormat/>
    <w:uiPriority w:val="0"/>
    <w:pPr>
      <w:ind w:left="283" w:hanging="283"/>
      <w:contextualSpacing/>
    </w:pPr>
  </w:style>
  <w:style w:type="paragraph" w:styleId="29">
    <w:name w:val="toc 9"/>
    <w:basedOn w:val="24"/>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1"/>
    <w:next w:val="21"/>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28"/>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1"/>
    <w:link w:val="85"/>
    <w:qFormat/>
    <w:uiPriority w:val="0"/>
    <w:pPr>
      <w:ind w:left="851" w:hanging="284"/>
    </w:p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5"/>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0"/>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1"/>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标题 5 字符"/>
    <w:basedOn w:val="35"/>
    <w:link w:val="6"/>
    <w:qFormat/>
    <w:uiPriority w:val="0"/>
    <w:rPr>
      <w:rFonts w:ascii="Arial" w:hAnsi="Arial" w:eastAsia="Times New Roman"/>
      <w:sz w:val="22"/>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E127D3D-E1DF-4977-BD82-2A6433002335}">
  <ds:schemaRefs/>
</ds:datastoreItem>
</file>

<file path=customXml/itemProps11.xml><?xml version="1.0" encoding="utf-8"?>
<ds:datastoreItem xmlns:ds="http://schemas.openxmlformats.org/officeDocument/2006/customXml" ds:itemID="{DA991D92-3F37-4DBB-8976-83264B6AAAFF}">
  <ds:schemaRefs/>
</ds:datastoreItem>
</file>

<file path=customXml/itemProps12.xml><?xml version="1.0" encoding="utf-8"?>
<ds:datastoreItem xmlns:ds="http://schemas.openxmlformats.org/officeDocument/2006/customXml" ds:itemID="{02A426E3-5276-4973-A204-DD5B52A6D2C5}">
  <ds:schemaRefs/>
</ds:datastoreItem>
</file>

<file path=customXml/itemProps2.xml><?xml version="1.0" encoding="utf-8"?>
<ds:datastoreItem xmlns:ds="http://schemas.openxmlformats.org/officeDocument/2006/customXml" ds:itemID="{7ECDFE00-E5A7-4C5F-A1B0-9233A9682D3D}">
  <ds:schemaRefs/>
</ds:datastoreItem>
</file>

<file path=customXml/itemProps3.xml><?xml version="1.0" encoding="utf-8"?>
<ds:datastoreItem xmlns:ds="http://schemas.openxmlformats.org/officeDocument/2006/customXml" ds:itemID="{BE4FC1BF-3BB8-43FC-BC44-DA4E820D8177}">
  <ds:schemaRefs/>
</ds:datastoreItem>
</file>

<file path=customXml/itemProps4.xml><?xml version="1.0" encoding="utf-8"?>
<ds:datastoreItem xmlns:ds="http://schemas.openxmlformats.org/officeDocument/2006/customXml" ds:itemID="{E871DA67-CEEF-472B-B4D3-5A5221DF6365}">
  <ds:schemaRefs/>
</ds:datastoreItem>
</file>

<file path=customXml/itemProps5.xml><?xml version="1.0" encoding="utf-8"?>
<ds:datastoreItem xmlns:ds="http://schemas.openxmlformats.org/officeDocument/2006/customXml" ds:itemID="{B09A3A9D-9C65-494E-BA45-D62797B78060}">
  <ds:schemaRefs/>
</ds:datastoreItem>
</file>

<file path=customXml/itemProps6.xml><?xml version="1.0" encoding="utf-8"?>
<ds:datastoreItem xmlns:ds="http://schemas.openxmlformats.org/officeDocument/2006/customXml" ds:itemID="{38FCC884-70F1-48FF-AF9D-3DF341EF1CE7}">
  <ds:schemaRefs/>
</ds:datastoreItem>
</file>

<file path=customXml/itemProps7.xml><?xml version="1.0" encoding="utf-8"?>
<ds:datastoreItem xmlns:ds="http://schemas.openxmlformats.org/officeDocument/2006/customXml" ds:itemID="{C7472580-4893-4EC5-BEC5-49A3D619E3FC}">
  <ds:schemaRefs/>
</ds:datastoreItem>
</file>

<file path=customXml/itemProps8.xml><?xml version="1.0" encoding="utf-8"?>
<ds:datastoreItem xmlns:ds="http://schemas.openxmlformats.org/officeDocument/2006/customXml" ds:itemID="{1899521D-80F2-45F2-A3ED-9641090EC45F}">
  <ds:schemaRefs/>
</ds:datastoreItem>
</file>

<file path=customXml/itemProps9.xml><?xml version="1.0" encoding="utf-8"?>
<ds:datastoreItem xmlns:ds="http://schemas.openxmlformats.org/officeDocument/2006/customXml" ds:itemID="{3EC594DF-176A-4E29-9671-10CF4C1B4238}">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4302</Words>
  <Characters>24522</Characters>
  <Lines>204</Lines>
  <Paragraphs>57</Paragraphs>
  <TotalTime>7</TotalTime>
  <ScaleCrop>false</ScaleCrop>
  <LinksUpToDate>false</LinksUpToDate>
  <CharactersWithSpaces>28767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2022-12-03T00:47:00Z</dcterms:created>
  <dc:creator>MCC Support</dc:creator>
  <cp:lastModifiedBy>CMCC r01</cp:lastModifiedBy>
  <cp:lastPrinted>2019-02-25T23:05:00Z</cp:lastPrinted>
  <dcterms:modified xsi:type="dcterms:W3CDTF">2023-04-18T09:12:59Z</dcterms:modified>
  <dc:subject>Architecture enhancements for 5G System (5GS) to support network data analytics services (Release 16)</dc:subject>
  <dc:title>3GPP TS 23.288</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3FBE920DF21642CEB2D9EE982B570541</vt:lpwstr>
  </property>
</Properties>
</file>